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71C95" w14:textId="77777777" w:rsidR="008E68E8" w:rsidRDefault="00D14157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PNRR, FORTE PREOCCUPAZIONE PER RITARDO SU CONTRASTO POVERTA’ EDUCATIVA</w:t>
      </w:r>
    </w:p>
    <w:p w14:paraId="42603388" w14:textId="77777777" w:rsidR="008E68E8" w:rsidRDefault="008E68E8">
      <w:pPr>
        <w:pStyle w:val="Standard"/>
        <w:jc w:val="both"/>
        <w:rPr>
          <w:rFonts w:ascii="Arial" w:hAnsi="Arial" w:cs="Arial"/>
          <w:b/>
          <w:sz w:val="28"/>
          <w:szCs w:val="28"/>
        </w:rPr>
      </w:pPr>
    </w:p>
    <w:p w14:paraId="7FA5B31B" w14:textId="77777777" w:rsidR="008E68E8" w:rsidRDefault="00D14157">
      <w:pPr>
        <w:pStyle w:val="Standard"/>
        <w:jc w:val="both"/>
      </w:pPr>
      <w:r>
        <w:rPr>
          <w:rFonts w:ascii="Arial" w:hAnsi="Arial" w:cs="Arial"/>
        </w:rPr>
        <w:t xml:space="preserve">Il </w:t>
      </w:r>
      <w:r>
        <w:rPr>
          <w:rFonts w:ascii="Arial" w:hAnsi="Arial" w:cs="Arial"/>
          <w:b/>
        </w:rPr>
        <w:t>Gruppo di lavoro</w:t>
      </w:r>
      <w:r>
        <w:rPr>
          <w:rFonts w:ascii="Arial" w:hAnsi="Arial" w:cs="Arial"/>
        </w:rPr>
        <w:t xml:space="preserve"> nominato con decreto del </w:t>
      </w:r>
      <w:r>
        <w:rPr>
          <w:rFonts w:ascii="Arial" w:hAnsi="Arial" w:cs="Arial"/>
          <w:b/>
        </w:rPr>
        <w:t>Ministro dell’Istruzione</w:t>
      </w:r>
      <w:r>
        <w:rPr>
          <w:rFonts w:ascii="Arial" w:hAnsi="Arial" w:cs="Arial"/>
        </w:rPr>
        <w:t xml:space="preserve"> il 9 marzo 2022, ha lavorato in tempi molto stretti per elaborare le </w:t>
      </w:r>
      <w:r>
        <w:rPr>
          <w:rFonts w:ascii="Arial" w:hAnsi="Arial" w:cs="Arial"/>
          <w:b/>
        </w:rPr>
        <w:t>indicazioni per il contrasto della dispersione e il superamento dei divari territoriali</w:t>
      </w:r>
      <w:r>
        <w:rPr>
          <w:rFonts w:ascii="Arial" w:hAnsi="Arial" w:cs="Arial"/>
        </w:rPr>
        <w:t>, nell’ambito dell’</w:t>
      </w:r>
      <w:r>
        <w:rPr>
          <w:rFonts w:ascii="Arial" w:hAnsi="Arial" w:cs="Arial"/>
          <w:b/>
        </w:rPr>
        <w:t>attuazione del Piano Nazionale</w:t>
      </w:r>
      <w:r>
        <w:rPr>
          <w:rFonts w:ascii="Arial" w:hAnsi="Arial" w:cs="Arial"/>
          <w:b/>
        </w:rPr>
        <w:t xml:space="preserve"> di Ripresa e Resilienza </w:t>
      </w:r>
      <w:r>
        <w:rPr>
          <w:rFonts w:ascii="Arial" w:hAnsi="Arial" w:cs="Arial"/>
        </w:rPr>
        <w:t>(Investimento 1.4</w:t>
      </w:r>
      <w:r>
        <w:rPr>
          <w:rStyle w:val="Rimandonotaapidipagina"/>
        </w:rPr>
        <w:footnoteReference w:id="1"/>
      </w:r>
      <w:r>
        <w:rPr>
          <w:rFonts w:ascii="Arial" w:hAnsi="Arial" w:cs="Arial"/>
        </w:rPr>
        <w:t>: Intervento straordinario</w:t>
      </w:r>
      <w:r>
        <w:rPr>
          <w:rFonts w:ascii="Arial" w:hAnsi="Arial" w:cs="Arial"/>
        </w:rPr>
        <w:t xml:space="preserve"> finalizzato alla riduzione dei divari territoriali nei cicli I e II della scuola secondaria di secondo grado) che </w:t>
      </w:r>
      <w:r>
        <w:rPr>
          <w:rFonts w:ascii="Arial" w:hAnsi="Arial" w:cs="Arial"/>
          <w:b/>
        </w:rPr>
        <w:t>mette a disposizione 1,5 miliardi</w:t>
      </w:r>
      <w:r>
        <w:rPr>
          <w:rFonts w:ascii="Arial" w:hAnsi="Arial" w:cs="Arial"/>
        </w:rPr>
        <w:t xml:space="preserve"> di euro.</w:t>
      </w:r>
    </w:p>
    <w:p w14:paraId="12D516AF" w14:textId="77777777" w:rsidR="008E68E8" w:rsidRDefault="008E68E8">
      <w:pPr>
        <w:pStyle w:val="Standard"/>
        <w:jc w:val="both"/>
        <w:rPr>
          <w:rFonts w:ascii="Arial" w:hAnsi="Arial" w:cs="Arial"/>
        </w:rPr>
      </w:pPr>
    </w:p>
    <w:p w14:paraId="13D4056E" w14:textId="77777777" w:rsidR="008E68E8" w:rsidRDefault="00D14157">
      <w:pPr>
        <w:pStyle w:val="Standard"/>
        <w:jc w:val="both"/>
      </w:pPr>
      <w:r>
        <w:rPr>
          <w:rFonts w:ascii="Arial" w:hAnsi="Arial" w:cs="Arial"/>
        </w:rPr>
        <w:t xml:space="preserve">Il Gruppo ha ispirato il proprio lavoro al: </w:t>
      </w:r>
      <w:r>
        <w:rPr>
          <w:rFonts w:ascii="Arial" w:hAnsi="Arial" w:cs="Arial"/>
          <w:b/>
        </w:rPr>
        <w:t>rafforzamento delle autonomie scolastiche</w:t>
      </w:r>
      <w:r>
        <w:rPr>
          <w:rFonts w:ascii="Arial" w:hAnsi="Arial" w:cs="Arial"/>
        </w:rPr>
        <w:t xml:space="preserve"> che rappre</w:t>
      </w:r>
      <w:r>
        <w:rPr>
          <w:rFonts w:ascii="Arial" w:hAnsi="Arial" w:cs="Arial"/>
        </w:rPr>
        <w:t xml:space="preserve">sentano un presidio della Repubblica, in territori, purtroppo molto estesi, di povertà multidimensionale causati da anni di accresciute disuguaglianze; </w:t>
      </w:r>
      <w:r>
        <w:rPr>
          <w:rFonts w:ascii="Arial" w:hAnsi="Arial" w:cs="Arial"/>
          <w:b/>
        </w:rPr>
        <w:t>supporto alla straordinaria azione dei docenti</w:t>
      </w:r>
      <w:r>
        <w:rPr>
          <w:rFonts w:ascii="Arial" w:hAnsi="Arial" w:cs="Arial"/>
        </w:rPr>
        <w:t xml:space="preserve"> che hanno operato durante anni di disinvestimento nella s</w:t>
      </w:r>
      <w:r>
        <w:rPr>
          <w:rFonts w:ascii="Arial" w:hAnsi="Arial" w:cs="Arial"/>
        </w:rPr>
        <w:t xml:space="preserve">cuola; sostegno alle </w:t>
      </w:r>
      <w:r>
        <w:rPr>
          <w:rFonts w:ascii="Arial" w:hAnsi="Arial" w:cs="Arial"/>
          <w:b/>
        </w:rPr>
        <w:t>alleanze tra scuole, comuni ed organizzazioni del terzo settore</w:t>
      </w:r>
      <w:r>
        <w:rPr>
          <w:rFonts w:ascii="Arial" w:hAnsi="Arial" w:cs="Arial"/>
        </w:rPr>
        <w:t xml:space="preserve"> che, insieme, prima, durante e dopo la pandemia, hanno creato estese cooperazioni sviluppando la ricchissima esperienza delle comunità educanti tra scuola e fuori scuola, </w:t>
      </w:r>
      <w:r>
        <w:rPr>
          <w:rFonts w:ascii="Arial" w:hAnsi="Arial" w:cs="Arial"/>
        </w:rPr>
        <w:t xml:space="preserve">capaci di riconquistare all’apprendimento e alla motivazione migliaia di bambini/e </w:t>
      </w:r>
      <w:proofErr w:type="spellStart"/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ragazzi/e.</w:t>
      </w:r>
    </w:p>
    <w:p w14:paraId="47E0F5DF" w14:textId="77777777" w:rsidR="008E68E8" w:rsidRDefault="008E68E8">
      <w:pPr>
        <w:pStyle w:val="Standard"/>
        <w:jc w:val="both"/>
        <w:rPr>
          <w:rFonts w:ascii="Arial" w:hAnsi="Arial" w:cs="Arial"/>
        </w:rPr>
      </w:pPr>
    </w:p>
    <w:p w14:paraId="1C454C99" w14:textId="77777777" w:rsidR="008E68E8" w:rsidRDefault="00D14157">
      <w:pPr>
        <w:pStyle w:val="Standard"/>
        <w:jc w:val="both"/>
      </w:pPr>
      <w:r>
        <w:rPr>
          <w:rFonts w:ascii="Arial" w:hAnsi="Arial" w:cs="Arial"/>
        </w:rPr>
        <w:t xml:space="preserve">Da questo lavoro, il Gruppo ha prodotto un </w:t>
      </w:r>
      <w:r>
        <w:rPr>
          <w:rFonts w:ascii="Arial" w:hAnsi="Arial" w:cs="Arial"/>
          <w:b/>
        </w:rPr>
        <w:t>documento dettagliato di 36 pagine</w:t>
      </w:r>
      <w:r>
        <w:rPr>
          <w:rFonts w:ascii="Arial" w:hAnsi="Arial" w:cs="Arial"/>
        </w:rPr>
        <w:t xml:space="preserve">, di cui 20 con </w:t>
      </w:r>
      <w:r>
        <w:rPr>
          <w:rFonts w:ascii="Arial" w:hAnsi="Arial" w:cs="Arial"/>
          <w:b/>
        </w:rPr>
        <w:t>puntuali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indicazioni e raccomandazioni operative</w:t>
      </w:r>
      <w:r>
        <w:rPr>
          <w:rFonts w:ascii="Arial" w:hAnsi="Arial" w:cs="Arial"/>
        </w:rPr>
        <w:t xml:space="preserve"> secondo quanto pr</w:t>
      </w:r>
      <w:r>
        <w:rPr>
          <w:rFonts w:ascii="Arial" w:hAnsi="Arial" w:cs="Arial"/>
        </w:rPr>
        <w:t xml:space="preserve">evisto dall’investimento 1.4 della misura 4 del PNRR, ed </w:t>
      </w:r>
      <w:r>
        <w:rPr>
          <w:rFonts w:ascii="Arial" w:hAnsi="Arial" w:cs="Arial"/>
          <w:b/>
        </w:rPr>
        <w:t>ulteriori 16 pagine</w:t>
      </w:r>
      <w:r>
        <w:rPr>
          <w:rFonts w:ascii="Arial" w:hAnsi="Arial" w:cs="Arial"/>
        </w:rPr>
        <w:t xml:space="preserve">, elaborate al fine di </w:t>
      </w:r>
      <w:r>
        <w:rPr>
          <w:rFonts w:ascii="Arial" w:hAnsi="Arial" w:cs="Arial"/>
          <w:i/>
          <w:iCs/>
        </w:rPr>
        <w:t>‘</w:t>
      </w:r>
      <w:r>
        <w:rPr>
          <w:rFonts w:ascii="Arial" w:hAnsi="Arial" w:cs="Arial"/>
          <w:b/>
          <w:i/>
          <w:iCs/>
        </w:rPr>
        <w:t>non ripartire ogni volta daccapo’</w:t>
      </w:r>
      <w:r>
        <w:rPr>
          <w:rFonts w:ascii="Arial" w:hAnsi="Arial" w:cs="Arial"/>
        </w:rPr>
        <w:t xml:space="preserve"> contenenti la ricognizione/mappatura dei principali interventi attuati sul fallimento formativo negli ultimi 5 anni.</w:t>
      </w:r>
    </w:p>
    <w:p w14:paraId="2998423B" w14:textId="77777777" w:rsidR="008E68E8" w:rsidRDefault="008E68E8">
      <w:pPr>
        <w:pStyle w:val="Standard"/>
        <w:jc w:val="both"/>
        <w:rPr>
          <w:rFonts w:ascii="Arial" w:hAnsi="Arial" w:cs="Arial"/>
        </w:rPr>
      </w:pPr>
    </w:p>
    <w:p w14:paraId="51319132" w14:textId="77777777" w:rsidR="008E68E8" w:rsidRDefault="00D14157">
      <w:pPr>
        <w:pStyle w:val="Standard"/>
        <w:jc w:val="both"/>
      </w:pPr>
      <w:r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 xml:space="preserve">Gruppo ha tenuto conto delle </w:t>
      </w:r>
      <w:r>
        <w:rPr>
          <w:rFonts w:ascii="Arial" w:hAnsi="Arial" w:cs="Arial"/>
          <w:b/>
        </w:rPr>
        <w:t>audizioni svolte con dirigenti scolastici</w:t>
      </w:r>
      <w:r>
        <w:rPr>
          <w:rFonts w:ascii="Arial" w:hAnsi="Arial" w:cs="Arial"/>
        </w:rPr>
        <w:t xml:space="preserve"> impegnati al nord, al centro e al sud, da anni, in territori di estesa esclusione sociale e povertà educativa, dell’audizione </w:t>
      </w:r>
      <w:r>
        <w:rPr>
          <w:rFonts w:ascii="Arial" w:hAnsi="Arial" w:cs="Arial"/>
          <w:b/>
        </w:rPr>
        <w:t>con il Presidente di Invalsi</w:t>
      </w:r>
      <w:r>
        <w:rPr>
          <w:rFonts w:ascii="Arial" w:hAnsi="Arial" w:cs="Arial"/>
        </w:rPr>
        <w:t>, delle considerazioni raccolte</w:t>
      </w:r>
      <w:r>
        <w:rPr>
          <w:rFonts w:ascii="Arial" w:hAnsi="Arial" w:cs="Arial"/>
        </w:rPr>
        <w:t xml:space="preserve"> dagli uffici del Ministero intorno ai </w:t>
      </w:r>
      <w:r>
        <w:rPr>
          <w:rFonts w:ascii="Arial" w:hAnsi="Arial" w:cs="Arial"/>
          <w:b/>
        </w:rPr>
        <w:t>dati di criticità riguardanti il fallimento formativo</w:t>
      </w:r>
      <w:r>
        <w:rPr>
          <w:rFonts w:ascii="Arial" w:hAnsi="Arial" w:cs="Arial"/>
        </w:rPr>
        <w:t xml:space="preserve">, della preziosa </w:t>
      </w:r>
      <w:r>
        <w:rPr>
          <w:rFonts w:ascii="Arial" w:hAnsi="Arial" w:cs="Arial"/>
          <w:b/>
        </w:rPr>
        <w:t>esperienza degli enti locali</w:t>
      </w:r>
      <w:r>
        <w:rPr>
          <w:rFonts w:ascii="Arial" w:hAnsi="Arial" w:cs="Arial"/>
        </w:rPr>
        <w:t xml:space="preserve">, dei </w:t>
      </w:r>
      <w:r>
        <w:rPr>
          <w:rFonts w:ascii="Arial" w:hAnsi="Arial" w:cs="Arial"/>
          <w:b/>
        </w:rPr>
        <w:t>cantieri educativi</w:t>
      </w:r>
      <w:r>
        <w:rPr>
          <w:rFonts w:ascii="Arial" w:hAnsi="Arial" w:cs="Arial"/>
        </w:rPr>
        <w:t xml:space="preserve"> che vedono la collaborazione tra scuola e terzo settore, in particolare </w:t>
      </w:r>
      <w:r>
        <w:rPr>
          <w:rFonts w:ascii="Arial" w:hAnsi="Arial" w:cs="Arial"/>
          <w:b/>
        </w:rPr>
        <w:t xml:space="preserve">del Fondo di </w:t>
      </w:r>
      <w:r>
        <w:rPr>
          <w:rFonts w:ascii="Arial" w:hAnsi="Arial" w:cs="Arial"/>
          <w:b/>
        </w:rPr>
        <w:t>contrasto della povertà educativa minorile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istituto con legge 28 dicembre 2015, n. 208 e promosso da Fondazioni di origine bancaria, Governo e Terzo settore</w:t>
      </w:r>
      <w:r>
        <w:rPr>
          <w:rFonts w:ascii="Arial" w:hAnsi="Arial" w:cs="Arial"/>
        </w:rPr>
        <w:t xml:space="preserve">) dei documenti e della </w:t>
      </w:r>
      <w:r>
        <w:rPr>
          <w:rFonts w:ascii="Arial" w:hAnsi="Arial" w:cs="Arial"/>
          <w:b/>
        </w:rPr>
        <w:t>letteratura in materia di lotta alla dispersione scolastica</w:t>
      </w:r>
      <w:r>
        <w:rPr>
          <w:rFonts w:ascii="Arial" w:hAnsi="Arial" w:cs="Arial"/>
        </w:rPr>
        <w:t xml:space="preserve"> e ai divari ter</w:t>
      </w:r>
      <w:r>
        <w:rPr>
          <w:rFonts w:ascii="Arial" w:hAnsi="Arial" w:cs="Arial"/>
        </w:rPr>
        <w:t xml:space="preserve">ritoriali frutto dell’impegno e della riflessione di esperti, organizzazioni sindacali,  istituzioni (cabina di regia contro la dispersione scolastica, VII Commissione Camera dei Deputati ecc..) e delle </w:t>
      </w:r>
      <w:r>
        <w:rPr>
          <w:rFonts w:ascii="Arial" w:hAnsi="Arial" w:cs="Arial"/>
          <w:b/>
        </w:rPr>
        <w:t xml:space="preserve">raccomandazioni di Unione Europea, Unicef, Consiglio </w:t>
      </w:r>
      <w:r>
        <w:rPr>
          <w:rFonts w:ascii="Arial" w:hAnsi="Arial" w:cs="Arial"/>
          <w:b/>
        </w:rPr>
        <w:t>dell’Europa</w:t>
      </w:r>
      <w:r>
        <w:rPr>
          <w:rFonts w:ascii="Arial" w:hAnsi="Arial" w:cs="Arial"/>
        </w:rPr>
        <w:t>.</w:t>
      </w:r>
    </w:p>
    <w:p w14:paraId="759C1B1B" w14:textId="77777777" w:rsidR="008E68E8" w:rsidRDefault="008E68E8">
      <w:pPr>
        <w:pStyle w:val="Standard"/>
        <w:jc w:val="both"/>
        <w:rPr>
          <w:rFonts w:ascii="Arial" w:hAnsi="Arial" w:cs="Arial"/>
        </w:rPr>
      </w:pPr>
    </w:p>
    <w:p w14:paraId="00C8C2E3" w14:textId="77777777" w:rsidR="008E68E8" w:rsidRDefault="00D14157">
      <w:pPr>
        <w:pStyle w:val="Standard"/>
        <w:jc w:val="both"/>
      </w:pPr>
      <w:r>
        <w:rPr>
          <w:rFonts w:ascii="Arial" w:hAnsi="Arial" w:cs="Arial"/>
        </w:rPr>
        <w:t>Il Gruppo di lavoro ha dunque</w:t>
      </w:r>
      <w:r>
        <w:rPr>
          <w:rFonts w:ascii="Arial" w:eastAsia="Calibri" w:hAnsi="Arial" w:cs="Arial"/>
          <w:iCs/>
        </w:rPr>
        <w:t xml:space="preserve"> </w:t>
      </w:r>
      <w:r>
        <w:rPr>
          <w:rFonts w:ascii="Arial" w:eastAsia="Calibri" w:hAnsi="Arial" w:cs="Arial"/>
          <w:b/>
          <w:iCs/>
        </w:rPr>
        <w:t>identificato i criteri per individuare le aree di maggiore crisi</w:t>
      </w:r>
      <w:r>
        <w:rPr>
          <w:rFonts w:ascii="Arial" w:eastAsia="Calibri" w:hAnsi="Arial" w:cs="Arial"/>
          <w:iCs/>
        </w:rPr>
        <w:t xml:space="preserve"> e dispersione; ha </w:t>
      </w:r>
      <w:r>
        <w:rPr>
          <w:rFonts w:ascii="Arial" w:eastAsia="Calibri" w:hAnsi="Arial" w:cs="Arial"/>
          <w:b/>
          <w:iCs/>
        </w:rPr>
        <w:t>proposto un piano di interventi</w:t>
      </w:r>
      <w:r>
        <w:rPr>
          <w:rFonts w:ascii="Arial" w:eastAsia="Calibri" w:hAnsi="Arial" w:cs="Arial"/>
          <w:iCs/>
        </w:rPr>
        <w:t xml:space="preserve"> e misure differenziate in base alle diverse età, alla territorialità e alla gravità dell’esclusi</w:t>
      </w:r>
      <w:r>
        <w:rPr>
          <w:rFonts w:ascii="Arial" w:eastAsia="Calibri" w:hAnsi="Arial" w:cs="Arial"/>
          <w:iCs/>
        </w:rPr>
        <w:t xml:space="preserve">one; ha </w:t>
      </w:r>
      <w:r>
        <w:rPr>
          <w:rFonts w:ascii="Arial" w:eastAsia="Calibri" w:hAnsi="Arial" w:cs="Arial"/>
          <w:b/>
          <w:iCs/>
        </w:rPr>
        <w:t>elaborato infine un modello operativo</w:t>
      </w:r>
      <w:r>
        <w:rPr>
          <w:rFonts w:ascii="Arial" w:eastAsia="Calibri" w:hAnsi="Arial" w:cs="Arial"/>
          <w:iCs/>
        </w:rPr>
        <w:t xml:space="preserve">, </w:t>
      </w:r>
      <w:r>
        <w:rPr>
          <w:rFonts w:ascii="Arial" w:eastAsia="Calibri" w:hAnsi="Arial" w:cs="Arial"/>
          <w:b/>
          <w:iCs/>
        </w:rPr>
        <w:t>fondato sui patti educativi territoriali</w:t>
      </w:r>
      <w:r>
        <w:rPr>
          <w:rFonts w:ascii="Arial" w:eastAsia="Calibri" w:hAnsi="Arial" w:cs="Arial"/>
          <w:iCs/>
        </w:rPr>
        <w:t xml:space="preserve"> per generare alleanze stabili tra scuole, che gestiscono i fondi ed enti locali, terzo settore, civismo educativo, che partecipano all’azione in modo paritario.</w:t>
      </w:r>
    </w:p>
    <w:p w14:paraId="30E93D7B" w14:textId="77777777" w:rsidR="008E68E8" w:rsidRDefault="008E68E8">
      <w:pPr>
        <w:pStyle w:val="Standard"/>
        <w:jc w:val="both"/>
        <w:rPr>
          <w:rFonts w:ascii="Arial" w:eastAsia="Calibri" w:hAnsi="Arial" w:cs="Arial"/>
          <w:iCs/>
        </w:rPr>
      </w:pPr>
    </w:p>
    <w:p w14:paraId="7EE8684E" w14:textId="77777777" w:rsidR="008E68E8" w:rsidRDefault="00D14157">
      <w:pPr>
        <w:pStyle w:val="Standard"/>
        <w:jc w:val="both"/>
      </w:pPr>
      <w:r>
        <w:rPr>
          <w:rFonts w:ascii="Arial" w:eastAsia="Calibri" w:hAnsi="Arial" w:cs="Arial"/>
          <w:iCs/>
        </w:rPr>
        <w:t xml:space="preserve">Il </w:t>
      </w:r>
      <w:r>
        <w:rPr>
          <w:rFonts w:ascii="Arial" w:eastAsia="Calibri" w:hAnsi="Arial" w:cs="Arial"/>
          <w:iCs/>
        </w:rPr>
        <w:t xml:space="preserve">Gruppo ritiene che per usare l’investimento 1.4 </w:t>
      </w:r>
      <w:r>
        <w:rPr>
          <w:rFonts w:ascii="Arial" w:eastAsia="Calibri" w:hAnsi="Arial" w:cs="Arial"/>
          <w:b/>
          <w:iCs/>
        </w:rPr>
        <w:t>per invertire la tendenza all’aumento dei divari tra minori, territori, scuole</w:t>
      </w:r>
      <w:r>
        <w:rPr>
          <w:rFonts w:ascii="Arial" w:eastAsia="Calibri" w:hAnsi="Arial" w:cs="Arial"/>
          <w:iCs/>
        </w:rPr>
        <w:t xml:space="preserve"> e per avviare una ampia azione di </w:t>
      </w:r>
      <w:r>
        <w:rPr>
          <w:rFonts w:ascii="Arial" w:eastAsia="Calibri" w:hAnsi="Arial" w:cs="Arial"/>
          <w:b/>
          <w:iCs/>
        </w:rPr>
        <w:t>sistema per contrastare il fallimento formativo sia urgente</w:t>
      </w:r>
      <w:r>
        <w:rPr>
          <w:rFonts w:ascii="Arial" w:eastAsia="Calibri" w:hAnsi="Arial" w:cs="Arial"/>
          <w:iCs/>
        </w:rPr>
        <w:t xml:space="preserve"> e possibile: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rafforzare l’offerta d</w:t>
      </w:r>
      <w:r>
        <w:rPr>
          <w:rFonts w:ascii="Arial" w:hAnsi="Arial" w:cs="Arial"/>
          <w:b/>
        </w:rPr>
        <w:t>elle scuole</w:t>
      </w:r>
      <w:r>
        <w:rPr>
          <w:rFonts w:ascii="Arial" w:hAnsi="Arial" w:cs="Arial"/>
        </w:rPr>
        <w:t xml:space="preserve"> con l’accompagnamento competente nell’elaborazione e gestione degli interventi potenziandone l’organico;</w:t>
      </w:r>
      <w:r>
        <w:rPr>
          <w:rFonts w:ascii="Arial" w:eastAsia="Calibri" w:hAnsi="Arial" w:cs="Arial"/>
          <w:iCs/>
        </w:rPr>
        <w:t xml:space="preserve"> </w:t>
      </w:r>
      <w:r>
        <w:rPr>
          <w:rFonts w:ascii="Arial" w:eastAsia="Calibri" w:hAnsi="Arial" w:cs="Arial"/>
          <w:b/>
          <w:iCs/>
        </w:rPr>
        <w:t>creare aree di educazione prioritaria</w:t>
      </w:r>
      <w:r>
        <w:rPr>
          <w:rFonts w:ascii="Arial" w:eastAsia="Calibri" w:hAnsi="Arial" w:cs="Arial"/>
          <w:iCs/>
        </w:rPr>
        <w:t xml:space="preserve"> dedicate a interventi sistematici e di lungo periodo in territori particolarmente difficili e puntual</w:t>
      </w:r>
      <w:r>
        <w:rPr>
          <w:rFonts w:ascii="Arial" w:eastAsia="Calibri" w:hAnsi="Arial" w:cs="Arial"/>
          <w:iCs/>
        </w:rPr>
        <w:t xml:space="preserve">mente individuati con criteri inoppugnabili; </w:t>
      </w:r>
      <w:r>
        <w:rPr>
          <w:rFonts w:ascii="Arial" w:eastAsia="Calibri" w:hAnsi="Arial" w:cs="Arial"/>
          <w:b/>
          <w:iCs/>
        </w:rPr>
        <w:t>stabilire target di interventi differenziati</w:t>
      </w:r>
      <w:r>
        <w:rPr>
          <w:rFonts w:ascii="Arial" w:eastAsia="Calibri" w:hAnsi="Arial" w:cs="Arial"/>
          <w:iCs/>
        </w:rPr>
        <w:t xml:space="preserve"> per età, situazioni e bisogni, in modo flessibile secondo i contesti e mirati sia alla prevenzione, a scuola e fuori scuola, sia ad azioni di riparazione e riconquist</w:t>
      </w:r>
      <w:r>
        <w:rPr>
          <w:rFonts w:ascii="Arial" w:eastAsia="Calibri" w:hAnsi="Arial" w:cs="Arial"/>
          <w:iCs/>
        </w:rPr>
        <w:t xml:space="preserve">a piena al diritto allo studio e alla formazione, anche attivando percorsi di seconda opportunità; </w:t>
      </w:r>
      <w:r>
        <w:rPr>
          <w:rFonts w:ascii="Arial" w:hAnsi="Arial" w:cs="Arial"/>
          <w:b/>
        </w:rPr>
        <w:t>ridare forza all’autonomia scolastica</w:t>
      </w:r>
      <w:r>
        <w:rPr>
          <w:rFonts w:ascii="Arial" w:hAnsi="Arial" w:cs="Arial"/>
        </w:rPr>
        <w:t xml:space="preserve"> e al protagonismo dei docenti grazie a investimenti capaci di rimotivare e supportare i processi di apprendimento di ci</w:t>
      </w:r>
      <w:r>
        <w:rPr>
          <w:rFonts w:ascii="Arial" w:hAnsi="Arial" w:cs="Arial"/>
        </w:rPr>
        <w:t xml:space="preserve">ascun alunno/a in situazione di esclusione, fragilità, difficoltà, anche con azioni di tutoring e presa in carico personalizzati; </w:t>
      </w:r>
      <w:r>
        <w:rPr>
          <w:rFonts w:ascii="Arial" w:hAnsi="Arial" w:cs="Arial"/>
          <w:b/>
        </w:rPr>
        <w:t>favorire, intorno alle scuole,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alleanze territoriali coese e permanenti </w:t>
      </w:r>
      <w:r>
        <w:rPr>
          <w:rFonts w:ascii="Arial" w:hAnsi="Arial" w:cs="Arial"/>
        </w:rPr>
        <w:t>tra le scuole stesse, gli enti locali, ed il terzo set</w:t>
      </w:r>
      <w:r>
        <w:rPr>
          <w:rFonts w:ascii="Arial" w:hAnsi="Arial" w:cs="Arial"/>
        </w:rPr>
        <w:t xml:space="preserve">tore su base cooperativa e paritaria curando la costituzione e la manutenzione nel tempo delle comunità educanti sull’esempio delle migliori pratiche già all’opera in ogni parte di Italia; </w:t>
      </w:r>
      <w:r>
        <w:rPr>
          <w:rFonts w:ascii="Arial" w:hAnsi="Arial" w:cs="Arial"/>
          <w:b/>
        </w:rPr>
        <w:t>coinvolgere le famiglie e sostenere e promuovere il protagonismo di</w:t>
      </w:r>
      <w:r>
        <w:rPr>
          <w:rFonts w:ascii="Arial" w:hAnsi="Arial" w:cs="Arial"/>
          <w:b/>
        </w:rPr>
        <w:t xml:space="preserve"> bambini e ragazzi</w:t>
      </w:r>
      <w:r>
        <w:rPr>
          <w:rFonts w:ascii="Arial" w:hAnsi="Arial" w:cs="Arial"/>
        </w:rPr>
        <w:t xml:space="preserve"> in ogni azione educativa messa in campo; curare una visione lungimirante che preveda </w:t>
      </w:r>
      <w:r>
        <w:rPr>
          <w:rFonts w:ascii="Arial" w:hAnsi="Arial" w:cs="Arial"/>
          <w:b/>
        </w:rPr>
        <w:t>scambio e confronto permanente tra scuole</w:t>
      </w:r>
      <w:r>
        <w:rPr>
          <w:rFonts w:ascii="Arial" w:hAnsi="Arial" w:cs="Arial"/>
        </w:rPr>
        <w:t xml:space="preserve">, continuità nelle fasi di transizione ed orientamento, comune </w:t>
      </w:r>
      <w:proofErr w:type="spellStart"/>
      <w:r>
        <w:rPr>
          <w:rFonts w:ascii="Arial" w:hAnsi="Arial" w:cs="Arial"/>
          <w:b/>
          <w:i/>
          <w:iCs/>
        </w:rPr>
        <w:t>capacity</w:t>
      </w:r>
      <w:proofErr w:type="spellEnd"/>
      <w:r>
        <w:rPr>
          <w:rFonts w:ascii="Arial" w:hAnsi="Arial" w:cs="Arial"/>
          <w:b/>
          <w:i/>
          <w:iCs/>
        </w:rPr>
        <w:t xml:space="preserve"> building</w:t>
      </w:r>
      <w:r>
        <w:rPr>
          <w:rFonts w:ascii="Arial" w:hAnsi="Arial" w:cs="Arial"/>
          <w:b/>
        </w:rPr>
        <w:t xml:space="preserve"> di tutte le professionalità</w:t>
      </w:r>
      <w:r>
        <w:rPr>
          <w:rFonts w:ascii="Arial" w:hAnsi="Arial" w:cs="Arial"/>
        </w:rPr>
        <w:t xml:space="preserve"> co</w:t>
      </w:r>
      <w:r>
        <w:rPr>
          <w:rFonts w:ascii="Arial" w:hAnsi="Arial" w:cs="Arial"/>
        </w:rPr>
        <w:t>involte tra scuola e fuori scuola.</w:t>
      </w:r>
    </w:p>
    <w:p w14:paraId="34F66EC3" w14:textId="77777777" w:rsidR="008E68E8" w:rsidRDefault="008E68E8">
      <w:pPr>
        <w:pStyle w:val="Standard"/>
        <w:jc w:val="both"/>
        <w:rPr>
          <w:rFonts w:ascii="Arial" w:hAnsi="Arial" w:cs="Arial"/>
        </w:rPr>
      </w:pPr>
    </w:p>
    <w:p w14:paraId="6D03F8CB" w14:textId="77777777" w:rsidR="008E68E8" w:rsidRDefault="00D14157">
      <w:pPr>
        <w:pStyle w:val="Standard"/>
        <w:jc w:val="both"/>
      </w:pPr>
      <w:r>
        <w:rPr>
          <w:rFonts w:ascii="Arial" w:hAnsi="Arial" w:cs="Arial"/>
          <w:b/>
        </w:rPr>
        <w:t>Il documento del Gruppo di lavoro</w:t>
      </w:r>
      <w:r>
        <w:rPr>
          <w:rFonts w:ascii="Arial" w:hAnsi="Arial" w:cs="Arial"/>
        </w:rPr>
        <w:t>, comprensivo di puntuali indicazioni operative, organizzative e gestionali secondo un’articolazione per target di interventi, esiti attesi e criteri di monitoraggio e valutazione di impa</w:t>
      </w:r>
      <w:r>
        <w:rPr>
          <w:rFonts w:ascii="Arial" w:hAnsi="Arial" w:cs="Arial"/>
        </w:rPr>
        <w:t xml:space="preserve">tto </w:t>
      </w:r>
      <w:r>
        <w:rPr>
          <w:rFonts w:ascii="Arial" w:hAnsi="Arial" w:cs="Arial"/>
          <w:b/>
        </w:rPr>
        <w:t>è stato consegnato</w:t>
      </w:r>
      <w:r>
        <w:rPr>
          <w:rFonts w:ascii="Arial" w:hAnsi="Arial" w:cs="Arial"/>
        </w:rPr>
        <w:t xml:space="preserve"> sia nella forma estesa descritta, sia in forma sintetica </w:t>
      </w:r>
      <w:r>
        <w:rPr>
          <w:rFonts w:ascii="Arial" w:hAnsi="Arial" w:cs="Arial"/>
          <w:b/>
        </w:rPr>
        <w:t>al Signor Ministro</w:t>
      </w:r>
      <w:r>
        <w:rPr>
          <w:rFonts w:ascii="Arial" w:hAnsi="Arial" w:cs="Arial"/>
        </w:rPr>
        <w:t>.</w:t>
      </w:r>
    </w:p>
    <w:p w14:paraId="4C6C684D" w14:textId="77777777" w:rsidR="008E68E8" w:rsidRDefault="008E68E8">
      <w:pPr>
        <w:pStyle w:val="Standard"/>
        <w:jc w:val="both"/>
        <w:rPr>
          <w:rFonts w:ascii="Arial" w:hAnsi="Arial" w:cs="Arial"/>
        </w:rPr>
      </w:pPr>
    </w:p>
    <w:p w14:paraId="75EA22D1" w14:textId="77777777" w:rsidR="008E68E8" w:rsidRDefault="00D14157">
      <w:pPr>
        <w:pStyle w:val="Standard"/>
        <w:jc w:val="both"/>
      </w:pPr>
      <w:r>
        <w:rPr>
          <w:rFonts w:ascii="Arial" w:hAnsi="Arial" w:cs="Arial"/>
          <w:b/>
        </w:rPr>
        <w:t>Siamo in attesa di un riscontro politico e di un avvio delle azioni necessarie ad attuare le indicazioni, che finora non è giunto</w:t>
      </w:r>
      <w:r>
        <w:rPr>
          <w:rFonts w:ascii="Arial" w:hAnsi="Arial" w:cs="Arial"/>
        </w:rPr>
        <w:t>. Siamo molto preoccupati</w:t>
      </w:r>
      <w:r>
        <w:rPr>
          <w:rFonts w:ascii="Arial" w:hAnsi="Arial" w:cs="Arial"/>
        </w:rPr>
        <w:t>. Perché siamo consapevoli dell’attesa per un investimento che deve raggiungere presto e bene scuole che hanno saputo resistere con competenza e passione in anni di grave disinvestimento e territori colpiti da crescente povertà educativa. Perché non abbiam</w:t>
      </w:r>
      <w:r>
        <w:rPr>
          <w:rFonts w:ascii="Arial" w:hAnsi="Arial" w:cs="Arial"/>
        </w:rPr>
        <w:t>o ricevuto una risposta ufficiale su un programma di investimento educativo a sostegno dei soggetti e delle situazioni più fragili, che fa tesoro dell’esperienza.</w:t>
      </w:r>
    </w:p>
    <w:p w14:paraId="3246ABC1" w14:textId="77777777" w:rsidR="008E68E8" w:rsidRDefault="00D14157">
      <w:pPr>
        <w:pStyle w:val="Standard"/>
        <w:jc w:val="both"/>
      </w:pPr>
      <w:r>
        <w:rPr>
          <w:rFonts w:ascii="Arial" w:hAnsi="Arial" w:cs="Arial"/>
        </w:rPr>
        <w:t xml:space="preserve">Auspichiamo che nei prossimi giorni avremo la conferma dell’adozione, in ogni sua parte, di </w:t>
      </w:r>
      <w:r>
        <w:rPr>
          <w:rFonts w:ascii="Arial" w:hAnsi="Arial" w:cs="Arial"/>
        </w:rPr>
        <w:t xml:space="preserve">una prospettiva strutturale che, su un tema di grande criticità per l’Italia e soprattutto per centinaia di migliaia di bambini/e </w:t>
      </w:r>
      <w:proofErr w:type="spellStart"/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ragazzi/e, dà una risposta a scuola e insegnanti, enti locali, civismo educativo del terzo settore italiano.</w:t>
      </w:r>
    </w:p>
    <w:p w14:paraId="5C37E075" w14:textId="77777777" w:rsidR="008E68E8" w:rsidRDefault="008E68E8">
      <w:pPr>
        <w:pStyle w:val="Standard"/>
        <w:jc w:val="both"/>
        <w:rPr>
          <w:rFonts w:ascii="Arial" w:hAnsi="Arial" w:cs="Arial"/>
        </w:rPr>
      </w:pPr>
    </w:p>
    <w:p w14:paraId="66AABE12" w14:textId="77777777" w:rsidR="008E68E8" w:rsidRDefault="00D14157">
      <w:pPr>
        <w:pStyle w:val="Standard"/>
        <w:jc w:val="both"/>
      </w:pPr>
      <w:r>
        <w:rPr>
          <w:rFonts w:ascii="Arial" w:hAnsi="Arial" w:cs="Arial"/>
          <w:b/>
          <w:bCs/>
        </w:rPr>
        <w:t>Ludovico Alber</w:t>
      </w:r>
      <w:r>
        <w:rPr>
          <w:rFonts w:ascii="Arial" w:hAnsi="Arial" w:cs="Arial"/>
          <w:b/>
          <w:bCs/>
        </w:rPr>
        <w:t xml:space="preserve">t, Marco Rossi Doria, Franco Lorenzoni, Andrea </w:t>
      </w:r>
      <w:proofErr w:type="spellStart"/>
      <w:r>
        <w:rPr>
          <w:rFonts w:ascii="Arial" w:hAnsi="Arial" w:cs="Arial"/>
          <w:b/>
          <w:bCs/>
        </w:rPr>
        <w:t>Morniroli</w:t>
      </w:r>
      <w:proofErr w:type="spellEnd"/>
      <w:r>
        <w:rPr>
          <w:rFonts w:ascii="Arial" w:hAnsi="Arial" w:cs="Arial"/>
          <w:b/>
          <w:bCs/>
        </w:rPr>
        <w:t xml:space="preserve">, Vanessa </w:t>
      </w:r>
      <w:proofErr w:type="spellStart"/>
      <w:r>
        <w:rPr>
          <w:rFonts w:ascii="Arial" w:hAnsi="Arial" w:cs="Arial"/>
          <w:b/>
          <w:bCs/>
        </w:rPr>
        <w:t>Pallucchi</w:t>
      </w:r>
      <w:proofErr w:type="spellEnd"/>
      <w:r>
        <w:rPr>
          <w:rFonts w:ascii="Arial" w:hAnsi="Arial" w:cs="Arial"/>
          <w:b/>
          <w:bCs/>
        </w:rPr>
        <w:t xml:space="preserve">, Don Marco </w:t>
      </w:r>
      <w:proofErr w:type="spellStart"/>
      <w:r>
        <w:rPr>
          <w:rFonts w:ascii="Arial" w:hAnsi="Arial" w:cs="Arial"/>
          <w:b/>
          <w:bCs/>
        </w:rPr>
        <w:t>Pagniello</w:t>
      </w:r>
      <w:proofErr w:type="spellEnd"/>
      <w:r>
        <w:rPr>
          <w:rFonts w:ascii="Arial" w:hAnsi="Arial" w:cs="Arial"/>
          <w:b/>
          <w:bCs/>
        </w:rPr>
        <w:t>, Chiara Saraceno</w:t>
      </w:r>
    </w:p>
    <w:p w14:paraId="3F4AA303" w14:textId="77777777" w:rsidR="008E68E8" w:rsidRDefault="008E68E8">
      <w:pPr>
        <w:pStyle w:val="Standard"/>
      </w:pPr>
    </w:p>
    <w:p w14:paraId="2D5C8834" w14:textId="77777777" w:rsidR="008E68E8" w:rsidRDefault="008E68E8">
      <w:pPr>
        <w:pStyle w:val="Standard"/>
      </w:pPr>
    </w:p>
    <w:sectPr w:rsidR="008E68E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425A7" w14:textId="77777777" w:rsidR="00D14157" w:rsidRDefault="00D14157">
      <w:r>
        <w:separator/>
      </w:r>
    </w:p>
  </w:endnote>
  <w:endnote w:type="continuationSeparator" w:id="0">
    <w:p w14:paraId="71A1745A" w14:textId="77777777" w:rsidR="00D14157" w:rsidRDefault="00D1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35A6F" w14:textId="77777777" w:rsidR="00D14157" w:rsidRDefault="00D14157">
      <w:r>
        <w:rPr>
          <w:color w:val="000000"/>
        </w:rPr>
        <w:separator/>
      </w:r>
    </w:p>
  </w:footnote>
  <w:footnote w:type="continuationSeparator" w:id="0">
    <w:p w14:paraId="6E561C8E" w14:textId="77777777" w:rsidR="00D14157" w:rsidRDefault="00D14157">
      <w:r>
        <w:continuationSeparator/>
      </w:r>
    </w:p>
  </w:footnote>
  <w:footnote w:id="1">
    <w:p w14:paraId="7A8F22CD" w14:textId="77777777" w:rsidR="008E68E8" w:rsidRDefault="00D14157">
      <w:pPr>
        <w:pStyle w:val="Testonotaapidipagina"/>
        <w:jc w:val="both"/>
      </w:pPr>
      <w:r>
        <w:rPr>
          <w:rStyle w:val="Rimandonotaapidipagina"/>
        </w:rPr>
        <w:footnoteRef/>
      </w:r>
      <w:r>
        <w:rPr>
          <w:bCs/>
        </w:rPr>
        <w:t>La misura ha un triplice obiettivo: • Misurare e monitorare i divari territoriali, anche attraverso il consolidamento e la generalizzazione dei test PISA/INVALSI • Ridurre i divari territoriali in Italia per qu</w:t>
      </w:r>
      <w:r>
        <w:rPr>
          <w:bCs/>
        </w:rPr>
        <w:t>anto concerne il livello delle competenze di base (italiano, matematica e inglese), inferiore alla media OCSE, in particolare, nel Mezzogiorno • Sviluppare una strategia per contrastare in modo strutturale l’abbandono scolastico</w:t>
      </w:r>
    </w:p>
    <w:p w14:paraId="603709D5" w14:textId="77777777" w:rsidR="008E68E8" w:rsidRDefault="008E68E8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E68E8"/>
    <w:rsid w:val="008E68E8"/>
    <w:rsid w:val="00A04922"/>
    <w:rsid w:val="00D1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32F2"/>
  <w15:docId w15:val="{0676A7FB-4952-41C6-BCB1-74734F05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F"/>
        <w:kern w:val="3"/>
        <w:sz w:val="24"/>
        <w:szCs w:val="24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Testonotaapidipagina">
    <w:name w:val="footnote text"/>
    <w:basedOn w:val="Standard"/>
    <w:rPr>
      <w:rFonts w:ascii="Calibri" w:hAnsi="Calibri" w:cs="F"/>
      <w:sz w:val="20"/>
      <w:szCs w:val="20"/>
      <w:lang w:eastAsia="en-US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customStyle="1" w:styleId="Richiamoallanotaapidipagina">
    <w:name w:val="Richiamo alla nota a piè di pagina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customStyle="1" w:styleId="Caratterinotaapidipagina">
    <w:name w:val="Caratteri nota a piè di pagina"/>
  </w:style>
  <w:style w:type="character" w:customStyle="1" w:styleId="Richiamoallanotadichiusura">
    <w:name w:val="Richiamo alla nota di chiusura"/>
    <w:rPr>
      <w:position w:val="0"/>
      <w:vertAlign w:val="superscript"/>
    </w:rPr>
  </w:style>
  <w:style w:type="character" w:customStyle="1" w:styleId="Caratterinotadichiusura">
    <w:name w:val="Caratteri nota di chiusura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955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Chiara Saraceno</cp:lastModifiedBy>
  <cp:revision>2</cp:revision>
  <dcterms:created xsi:type="dcterms:W3CDTF">2022-06-20T09:43:00Z</dcterms:created>
  <dcterms:modified xsi:type="dcterms:W3CDTF">2022-06-20T09:43:00Z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